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A0" w:firstRow="1" w:lastRow="0" w:firstColumn="1" w:lastColumn="0" w:noHBand="0" w:noVBand="0"/>
      </w:tblPr>
      <w:tblGrid>
        <w:gridCol w:w="10071"/>
        <w:gridCol w:w="4501"/>
      </w:tblGrid>
      <w:tr w:rsidR="0069188A" w:rsidRPr="00EA6EFB" w:rsidTr="00D2297E">
        <w:trPr>
          <w:trHeight w:hRule="exact" w:val="284"/>
        </w:trPr>
        <w:tc>
          <w:tcPr>
            <w:tcW w:w="14572" w:type="dxa"/>
            <w:gridSpan w:val="2"/>
            <w:tcBorders>
              <w:bottom w:val="single" w:sz="4" w:space="0" w:color="auto"/>
            </w:tcBorders>
            <w:shd w:val="clear" w:color="auto" w:fill="F18213"/>
            <w:tcMar>
              <w:top w:w="57" w:type="dxa"/>
              <w:bottom w:w="57" w:type="dxa"/>
            </w:tcMar>
            <w:vAlign w:val="center"/>
          </w:tcPr>
          <w:p w:rsidR="0069188A" w:rsidRPr="00EA6EFB" w:rsidRDefault="0020526E" w:rsidP="00D2297E">
            <w:pPr>
              <w:tabs>
                <w:tab w:val="right" w:pos="14356"/>
              </w:tabs>
              <w:spacing w:line="240" w:lineRule="auto"/>
              <w:rPr>
                <w:i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 xml:space="preserve">HRM.02 </w:t>
            </w:r>
            <w:r w:rsidR="00F50ADE">
              <w:rPr>
                <w:b/>
                <w:color w:val="FFFFFF" w:themeColor="background1"/>
                <w:sz w:val="18"/>
                <w:szCs w:val="18"/>
              </w:rPr>
              <w:t>HR-</w:t>
            </w:r>
            <w:r w:rsidR="00106FB4">
              <w:rPr>
                <w:b/>
                <w:color w:val="FFFFFF" w:themeColor="background1"/>
                <w:sz w:val="18"/>
                <w:szCs w:val="18"/>
              </w:rPr>
              <w:t>ADVISEUR</w:t>
            </w:r>
            <w:r w:rsidR="000F4C84">
              <w:rPr>
                <w:b/>
                <w:color w:val="FFFFFF" w:themeColor="background1"/>
                <w:sz w:val="18"/>
                <w:szCs w:val="18"/>
              </w:rPr>
              <w:t xml:space="preserve"> II</w:t>
            </w:r>
            <w:r w:rsidR="0069188A" w:rsidRPr="00EA6EFB">
              <w:rPr>
                <w:b/>
                <w:color w:val="FFFFFF" w:themeColor="background1"/>
                <w:sz w:val="18"/>
                <w:szCs w:val="18"/>
              </w:rPr>
              <w:tab/>
            </w:r>
            <w:r w:rsidR="0069188A" w:rsidRPr="00EA6EFB">
              <w:rPr>
                <w:color w:val="FFFFFF" w:themeColor="background1"/>
                <w:sz w:val="18"/>
                <w:szCs w:val="18"/>
              </w:rPr>
              <w:t xml:space="preserve">Functiefamilie: </w:t>
            </w:r>
            <w:r w:rsidR="001875CD">
              <w:rPr>
                <w:color w:val="FFFFFF" w:themeColor="background1"/>
                <w:sz w:val="18"/>
                <w:szCs w:val="18"/>
              </w:rPr>
              <w:t>HRM</w:t>
            </w:r>
          </w:p>
        </w:tc>
      </w:tr>
      <w:tr w:rsidR="008A4466" w:rsidRPr="00EA6EFB" w:rsidTr="001875CD">
        <w:trPr>
          <w:trHeight w:val="493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A4466" w:rsidRPr="001875CD" w:rsidRDefault="008A4466" w:rsidP="009C2A23">
            <w:pPr>
              <w:spacing w:line="240" w:lineRule="auto"/>
              <w:rPr>
                <w:b/>
                <w:color w:val="F18213"/>
                <w:sz w:val="18"/>
                <w:szCs w:val="18"/>
                <w:lang w:bidi="x-none"/>
              </w:rPr>
            </w:pPr>
            <w:r w:rsidRPr="001875CD">
              <w:rPr>
                <w:b/>
                <w:color w:val="F18213"/>
                <w:sz w:val="18"/>
                <w:szCs w:val="18"/>
              </w:rPr>
              <w:t>Context</w:t>
            </w:r>
          </w:p>
          <w:p w:rsidR="009C2A23" w:rsidRPr="00EC3270" w:rsidRDefault="009C2A23" w:rsidP="009C2A23">
            <w:pPr>
              <w:spacing w:line="240" w:lineRule="auto"/>
              <w:rPr>
                <w:rFonts w:cs="Arial"/>
                <w:sz w:val="18"/>
                <w:szCs w:val="18"/>
                <w:lang w:eastAsia="nl-NL"/>
              </w:rPr>
            </w:pPr>
            <w:r w:rsidRPr="00E4718C">
              <w:rPr>
                <w:rFonts w:cs="Arial"/>
                <w:sz w:val="18"/>
                <w:szCs w:val="18"/>
              </w:rPr>
              <w:t xml:space="preserve">De functie </w:t>
            </w:r>
            <w:r w:rsidRPr="001701A4">
              <w:rPr>
                <w:rFonts w:cs="Arial"/>
                <w:sz w:val="18"/>
                <w:szCs w:val="18"/>
              </w:rPr>
              <w:t xml:space="preserve">is </w:t>
            </w:r>
            <w:r>
              <w:rPr>
                <w:rFonts w:cs="Arial"/>
                <w:sz w:val="18"/>
                <w:szCs w:val="18"/>
              </w:rPr>
              <w:t>gepositioneerd binnen</w:t>
            </w:r>
            <w:r w:rsidRPr="001701A4">
              <w:rPr>
                <w:rFonts w:cs="Arial"/>
                <w:sz w:val="18"/>
                <w:szCs w:val="18"/>
              </w:rPr>
              <w:t xml:space="preserve"> een regionale sportser</w:t>
            </w:r>
            <w:r>
              <w:rPr>
                <w:rFonts w:cs="Arial"/>
                <w:sz w:val="18"/>
                <w:szCs w:val="18"/>
              </w:rPr>
              <w:t>viceorganisatie (met ongeveer 125</w:t>
            </w:r>
            <w:r w:rsidRPr="001701A4">
              <w:rPr>
                <w:rFonts w:cs="Arial"/>
                <w:sz w:val="18"/>
                <w:szCs w:val="18"/>
              </w:rPr>
              <w:t xml:space="preserve"> medewerkers) die in opdracht van de </w:t>
            </w:r>
            <w:r>
              <w:rPr>
                <w:rFonts w:cs="Arial"/>
                <w:sz w:val="18"/>
                <w:szCs w:val="18"/>
              </w:rPr>
              <w:t xml:space="preserve">aangesloten </w:t>
            </w:r>
            <w:r w:rsidRPr="001701A4">
              <w:rPr>
                <w:rFonts w:cs="Arial"/>
                <w:sz w:val="18"/>
                <w:szCs w:val="18"/>
              </w:rPr>
              <w:t>gemeenten uitvoering geeft aan het sportbeleid</w:t>
            </w:r>
            <w:r>
              <w:rPr>
                <w:rFonts w:cs="Arial"/>
                <w:sz w:val="18"/>
                <w:szCs w:val="18"/>
              </w:rPr>
              <w:t xml:space="preserve"> binnen de regio</w:t>
            </w:r>
            <w:r w:rsidRPr="001701A4">
              <w:rPr>
                <w:rFonts w:cs="Arial"/>
                <w:sz w:val="18"/>
                <w:szCs w:val="18"/>
              </w:rPr>
              <w:t xml:space="preserve">. De organisatie </w:t>
            </w:r>
            <w:r w:rsidRPr="001701A4">
              <w:rPr>
                <w:rFonts w:cs="Arial"/>
                <w:sz w:val="18"/>
                <w:szCs w:val="18"/>
                <w:lang w:eastAsia="nl-NL"/>
              </w:rPr>
              <w:t xml:space="preserve">zet zich als kennispartner en verbinder in voor een gezonde regio. Hiertoe werkt de organisatie </w:t>
            </w:r>
            <w:r>
              <w:rPr>
                <w:rFonts w:cs="Arial"/>
                <w:sz w:val="18"/>
                <w:szCs w:val="18"/>
                <w:lang w:eastAsia="nl-NL"/>
              </w:rPr>
              <w:t xml:space="preserve">nauw samen met </w:t>
            </w:r>
            <w:r w:rsidRPr="001701A4">
              <w:rPr>
                <w:rFonts w:cs="Arial"/>
                <w:sz w:val="18"/>
                <w:szCs w:val="18"/>
                <w:lang w:eastAsia="nl-NL"/>
              </w:rPr>
              <w:t>overheden, verenig</w:t>
            </w:r>
            <w:r>
              <w:rPr>
                <w:rFonts w:cs="Arial"/>
                <w:sz w:val="18"/>
                <w:szCs w:val="18"/>
                <w:lang w:eastAsia="nl-NL"/>
              </w:rPr>
              <w:t>ingen, onderwijs, zorg en</w:t>
            </w:r>
            <w:r w:rsidRPr="001701A4">
              <w:rPr>
                <w:rFonts w:cs="Arial"/>
                <w:sz w:val="18"/>
                <w:szCs w:val="18"/>
                <w:lang w:eastAsia="nl-NL"/>
              </w:rPr>
              <w:t xml:space="preserve"> welzijn en bedrijfsleven aan het versterken van de sport- en beweeginfrastructuur met als doel zoveel mogelijk mensen aan het sporten en bewegen te krijgen.</w:t>
            </w:r>
            <w:r>
              <w:rPr>
                <w:rFonts w:cs="Arial"/>
                <w:sz w:val="18"/>
                <w:szCs w:val="18"/>
                <w:lang w:eastAsia="nl-NL"/>
              </w:rPr>
              <w:t xml:space="preserve"> </w:t>
            </w:r>
          </w:p>
          <w:p w:rsidR="008A4466" w:rsidRPr="001875CD" w:rsidRDefault="005A61A1" w:rsidP="009C2A23">
            <w:pPr>
              <w:spacing w:line="240" w:lineRule="auto"/>
              <w:rPr>
                <w:color w:val="auto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De </w:t>
            </w:r>
            <w:r w:rsidR="00F50ADE">
              <w:rPr>
                <w:rFonts w:cs="Arial"/>
                <w:color w:val="000000" w:themeColor="text1"/>
                <w:sz w:val="18"/>
                <w:szCs w:val="18"/>
              </w:rPr>
              <w:t>HR-</w:t>
            </w:r>
            <w:r w:rsidR="00106FB4">
              <w:rPr>
                <w:rFonts w:cs="Arial"/>
                <w:color w:val="000000" w:themeColor="text1"/>
                <w:sz w:val="18"/>
                <w:szCs w:val="18"/>
              </w:rPr>
              <w:t>adviseur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54543" w:rsidRPr="0057325F">
              <w:rPr>
                <w:rFonts w:cs="Arial"/>
                <w:color w:val="000000" w:themeColor="text1"/>
                <w:sz w:val="18"/>
                <w:szCs w:val="18"/>
              </w:rPr>
              <w:t xml:space="preserve">is gepositioneerd </w:t>
            </w:r>
            <w:r w:rsidR="00654543">
              <w:rPr>
                <w:rFonts w:cs="Arial"/>
                <w:color w:val="000000" w:themeColor="text1"/>
                <w:sz w:val="18"/>
                <w:szCs w:val="18"/>
              </w:rPr>
              <w:t>binnen</w:t>
            </w:r>
            <w:r w:rsidR="00654543" w:rsidRPr="0057325F"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654543">
              <w:rPr>
                <w:rFonts w:cs="Arial"/>
                <w:color w:val="000000" w:themeColor="text1"/>
                <w:sz w:val="18"/>
                <w:szCs w:val="18"/>
              </w:rPr>
              <w:t xml:space="preserve">de afdeling HRM. Vanuit HR is de </w:t>
            </w:r>
            <w:r w:rsidR="00F50ADE">
              <w:rPr>
                <w:rFonts w:cs="Arial"/>
                <w:color w:val="000000" w:themeColor="text1"/>
                <w:sz w:val="18"/>
                <w:szCs w:val="18"/>
              </w:rPr>
              <w:t>HR-</w:t>
            </w:r>
            <w:r w:rsidR="00106FB4">
              <w:rPr>
                <w:rFonts w:cs="Arial"/>
                <w:color w:val="000000" w:themeColor="text1"/>
                <w:sz w:val="18"/>
                <w:szCs w:val="18"/>
              </w:rPr>
              <w:t>adviseur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</w:t>
            </w:r>
            <w:r w:rsidR="001C1117">
              <w:rPr>
                <w:rFonts w:cs="Arial"/>
                <w:color w:val="000000" w:themeColor="text1"/>
                <w:sz w:val="18"/>
                <w:szCs w:val="18"/>
              </w:rPr>
              <w:t xml:space="preserve">II 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gericht op het, binnen de kaders van wet- en rege</w:t>
            </w:r>
            <w:r w:rsidR="006F76A6">
              <w:rPr>
                <w:rFonts w:cs="Arial"/>
                <w:color w:val="000000" w:themeColor="text1"/>
                <w:sz w:val="18"/>
                <w:szCs w:val="18"/>
              </w:rPr>
              <w:t>lgeving en het geformuleerde HR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>-beleid,</w:t>
            </w:r>
            <w:r w:rsidR="001875CD" w:rsidRPr="001875CD">
              <w:rPr>
                <w:rFonts w:cs="Arial"/>
                <w:color w:val="000000" w:themeColor="text1"/>
                <w:sz w:val="18"/>
                <w:szCs w:val="18"/>
              </w:rPr>
              <w:t xml:space="preserve"> effectief uitvoeren van de operationele HR-processen rond in-, door- en uitstroom. </w:t>
            </w:r>
            <w:r w:rsidR="006F76A6">
              <w:rPr>
                <w:rFonts w:cs="Arial"/>
                <w:color w:val="000000" w:themeColor="text1"/>
                <w:sz w:val="18"/>
                <w:szCs w:val="18"/>
              </w:rPr>
              <w:t>Functieho</w:t>
            </w:r>
            <w:r w:rsidR="00D932EE">
              <w:rPr>
                <w:rFonts w:cs="Arial"/>
                <w:color w:val="000000" w:themeColor="text1"/>
                <w:sz w:val="18"/>
                <w:szCs w:val="18"/>
              </w:rPr>
              <w:t>uder adviseert het management te</w:t>
            </w:r>
            <w:r w:rsidR="006F76A6">
              <w:rPr>
                <w:rFonts w:cs="Arial"/>
                <w:color w:val="000000" w:themeColor="text1"/>
                <w:sz w:val="18"/>
                <w:szCs w:val="18"/>
              </w:rPr>
              <w:t>n aanzien van de toepassing van het bestaande HR-beleid en werkt gefiatteerd beleid verder uit. De uitvoering van het HR-beleid ligt overwegend bij het (lijn)management.</w:t>
            </w:r>
          </w:p>
        </w:tc>
      </w:tr>
      <w:tr w:rsidR="00BA56DD" w:rsidRPr="00EA6EFB" w:rsidTr="001603C7">
        <w:trPr>
          <w:trHeight w:val="426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BA56DD" w:rsidRPr="001875CD" w:rsidRDefault="008A4466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1875CD">
              <w:rPr>
                <w:b/>
                <w:color w:val="F18213"/>
                <w:sz w:val="18"/>
                <w:szCs w:val="18"/>
              </w:rPr>
              <w:t>Doel</w:t>
            </w:r>
          </w:p>
          <w:p w:rsidR="007E18CB" w:rsidRPr="001875CD" w:rsidRDefault="001875CD" w:rsidP="00A51BFC">
            <w:pPr>
              <w:spacing w:line="240" w:lineRule="auto"/>
              <w:rPr>
                <w:sz w:val="18"/>
                <w:szCs w:val="18"/>
              </w:rPr>
            </w:pP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 xml:space="preserve">Realiseren van een effectieve </w:t>
            </w:r>
            <w:r w:rsidR="006F76A6">
              <w:rPr>
                <w:rFonts w:cs="Arial"/>
                <w:color w:val="000000" w:themeColor="text1"/>
                <w:sz w:val="18"/>
                <w:szCs w:val="18"/>
              </w:rPr>
              <w:t xml:space="preserve">ondersteuning </w:t>
            </w:r>
            <w:r w:rsidR="000551E2">
              <w:rPr>
                <w:rFonts w:cs="Arial"/>
                <w:color w:val="000000" w:themeColor="text1"/>
                <w:sz w:val="18"/>
                <w:szCs w:val="18"/>
              </w:rPr>
              <w:t xml:space="preserve">en advisering </w:t>
            </w:r>
            <w:r w:rsidR="006F76A6">
              <w:rPr>
                <w:rFonts w:cs="Arial"/>
                <w:color w:val="000000" w:themeColor="text1"/>
                <w:sz w:val="18"/>
                <w:szCs w:val="18"/>
              </w:rPr>
              <w:t xml:space="preserve">van het 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>lijnmanagement</w:t>
            </w:r>
            <w:r w:rsidR="006F76A6">
              <w:rPr>
                <w:rFonts w:cs="Arial"/>
                <w:color w:val="000000" w:themeColor="text1"/>
                <w:sz w:val="18"/>
                <w:szCs w:val="18"/>
              </w:rPr>
              <w:t xml:space="preserve"> in de </w:t>
            </w:r>
            <w:r w:rsidR="0023776D">
              <w:rPr>
                <w:rFonts w:cs="Arial"/>
                <w:color w:val="000000" w:themeColor="text1"/>
                <w:sz w:val="18"/>
                <w:szCs w:val="18"/>
              </w:rPr>
              <w:t>afhandeling van HR-vraagstukken</w:t>
            </w:r>
            <w:r w:rsidR="006F76A6">
              <w:rPr>
                <w:rFonts w:cs="Arial"/>
                <w:color w:val="000000" w:themeColor="text1"/>
                <w:sz w:val="18"/>
                <w:szCs w:val="18"/>
              </w:rPr>
              <w:t xml:space="preserve"> en uitvoering van </w:t>
            </w:r>
            <w:r w:rsidR="006F76A6" w:rsidRPr="001875CD">
              <w:rPr>
                <w:rFonts w:cs="Arial"/>
                <w:color w:val="000000" w:themeColor="text1"/>
                <w:sz w:val="18"/>
                <w:szCs w:val="18"/>
              </w:rPr>
              <w:t>(operationele) HR-processen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952F07" w:rsidRPr="00EA6EFB" w:rsidTr="001603C7">
        <w:trPr>
          <w:trHeight w:val="608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952F07" w:rsidRPr="001875CD" w:rsidRDefault="00952F07" w:rsidP="00A51BFC">
            <w:pPr>
              <w:spacing w:line="240" w:lineRule="auto"/>
              <w:rPr>
                <w:b/>
                <w:color w:val="F18213"/>
                <w:sz w:val="18"/>
                <w:szCs w:val="18"/>
              </w:rPr>
            </w:pPr>
            <w:r w:rsidRPr="001875CD">
              <w:rPr>
                <w:b/>
                <w:color w:val="F18213"/>
                <w:sz w:val="18"/>
                <w:szCs w:val="18"/>
              </w:rPr>
              <w:t>Rapportagestructuur</w:t>
            </w:r>
          </w:p>
          <w:p w:rsidR="00952F07" w:rsidRPr="001875CD" w:rsidRDefault="00495514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000000" w:themeColor="text1"/>
                <w:sz w:val="18"/>
                <w:szCs w:val="18"/>
                <w:lang w:bidi="x-none"/>
              </w:rPr>
            </w:pPr>
            <w:r w:rsidRPr="001875CD">
              <w:rPr>
                <w:color w:val="000000" w:themeColor="text1"/>
                <w:sz w:val="18"/>
                <w:szCs w:val="18"/>
                <w:lang w:bidi="x-none"/>
              </w:rPr>
              <w:t>Direct leidinggevende</w:t>
            </w:r>
            <w:r w:rsidR="00D47F61" w:rsidRPr="001875CD">
              <w:rPr>
                <w:color w:val="000000" w:themeColor="text1"/>
                <w:sz w:val="18"/>
                <w:szCs w:val="18"/>
                <w:lang w:bidi="x-none"/>
              </w:rPr>
              <w:t>:</w:t>
            </w:r>
            <w:r w:rsidR="00D47F61" w:rsidRPr="001875CD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1875CD" w:rsidRPr="001875CD">
              <w:rPr>
                <w:color w:val="000000" w:themeColor="text1"/>
                <w:sz w:val="18"/>
                <w:szCs w:val="18"/>
                <w:lang w:bidi="x-none"/>
              </w:rPr>
              <w:t>manager HRM</w:t>
            </w:r>
          </w:p>
          <w:p w:rsidR="00D47F61" w:rsidRPr="001875CD" w:rsidRDefault="00D47F61" w:rsidP="00A51BFC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B80526"/>
                <w:sz w:val="18"/>
                <w:szCs w:val="18"/>
                <w:lang w:bidi="x-none"/>
              </w:rPr>
            </w:pPr>
            <w:r w:rsidRPr="001875CD">
              <w:rPr>
                <w:color w:val="000000" w:themeColor="text1"/>
                <w:sz w:val="18"/>
                <w:szCs w:val="18"/>
                <w:lang w:bidi="x-none"/>
              </w:rPr>
              <w:t>Geeft leiding aan:</w:t>
            </w:r>
            <w:r w:rsidRPr="001875CD">
              <w:rPr>
                <w:color w:val="000000" w:themeColor="text1"/>
                <w:sz w:val="18"/>
                <w:szCs w:val="18"/>
                <w:lang w:bidi="x-none"/>
              </w:rPr>
              <w:tab/>
            </w:r>
            <w:r w:rsidR="001875CD" w:rsidRPr="001875CD">
              <w:rPr>
                <w:color w:val="000000" w:themeColor="text1"/>
                <w:sz w:val="18"/>
                <w:szCs w:val="18"/>
                <w:lang w:bidi="x-none"/>
              </w:rPr>
              <w:t>niet van toepassing</w:t>
            </w:r>
          </w:p>
        </w:tc>
      </w:tr>
      <w:tr w:rsidR="00860F94" w:rsidRPr="00EA6EFB" w:rsidTr="001603C7">
        <w:trPr>
          <w:trHeight w:hRule="exact" w:val="284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875CD" w:rsidRDefault="00051C43" w:rsidP="00A16B2F">
            <w:pPr>
              <w:spacing w:line="240" w:lineRule="auto"/>
              <w:ind w:left="113" w:hanging="113"/>
              <w:rPr>
                <w:b/>
                <w:color w:val="F18213"/>
                <w:sz w:val="18"/>
                <w:szCs w:val="18"/>
                <w:lang w:bidi="x-none"/>
              </w:rPr>
            </w:pPr>
            <w:r w:rsidRPr="001875CD">
              <w:rPr>
                <w:b/>
                <w:color w:val="F18213"/>
                <w:sz w:val="18"/>
                <w:szCs w:val="18"/>
                <w:lang w:bidi="x-none"/>
              </w:rPr>
              <w:t>Resultaat</w:t>
            </w:r>
            <w:r w:rsidR="00346AD4" w:rsidRPr="001875CD">
              <w:rPr>
                <w:b/>
                <w:color w:val="F18213"/>
                <w:sz w:val="18"/>
                <w:szCs w:val="18"/>
                <w:lang w:bidi="x-none"/>
              </w:rPr>
              <w:t>/bijdrage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051C43" w:rsidRPr="001875CD" w:rsidRDefault="00346AD4" w:rsidP="00A16B2F">
            <w:pPr>
              <w:spacing w:line="240" w:lineRule="auto"/>
              <w:ind w:left="113" w:hanging="113"/>
              <w:rPr>
                <w:color w:val="F18213"/>
                <w:sz w:val="18"/>
                <w:szCs w:val="18"/>
                <w:lang w:bidi="x-none"/>
              </w:rPr>
            </w:pPr>
            <w:r w:rsidRPr="001875CD">
              <w:rPr>
                <w:b/>
                <w:color w:val="F18213"/>
                <w:sz w:val="18"/>
                <w:szCs w:val="18"/>
                <w:lang w:bidi="x-none"/>
              </w:rPr>
              <w:t>Resultaatindicatoren</w:t>
            </w:r>
          </w:p>
        </w:tc>
      </w:tr>
      <w:tr w:rsidR="006F76A6" w:rsidRPr="00EA6EFB" w:rsidTr="00D932EE">
        <w:trPr>
          <w:trHeight w:val="1091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6F76A6" w:rsidRPr="001875CD" w:rsidRDefault="006F76A6" w:rsidP="00240D88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</w:t>
            </w:r>
            <w:r w:rsidRPr="001875CD">
              <w:rPr>
                <w:b/>
                <w:color w:val="auto"/>
                <w:sz w:val="18"/>
                <w:szCs w:val="18"/>
              </w:rPr>
              <w:t>.</w:t>
            </w:r>
            <w:r w:rsidRPr="001875CD">
              <w:rPr>
                <w:b/>
                <w:color w:val="auto"/>
                <w:sz w:val="18"/>
                <w:szCs w:val="18"/>
              </w:rPr>
              <w:tab/>
            </w:r>
            <w:r>
              <w:rPr>
                <w:b/>
                <w:color w:val="auto"/>
                <w:sz w:val="18"/>
                <w:szCs w:val="18"/>
              </w:rPr>
              <w:t xml:space="preserve">Advisering </w:t>
            </w:r>
            <w:r w:rsidR="0023776D">
              <w:rPr>
                <w:b/>
                <w:color w:val="auto"/>
                <w:sz w:val="18"/>
                <w:szCs w:val="18"/>
              </w:rPr>
              <w:t xml:space="preserve">en ondersteuning </w:t>
            </w:r>
            <w:r>
              <w:rPr>
                <w:b/>
                <w:color w:val="auto"/>
                <w:sz w:val="18"/>
                <w:szCs w:val="18"/>
              </w:rPr>
              <w:t>(lijn)management</w:t>
            </w:r>
          </w:p>
          <w:p w:rsidR="006F76A6" w:rsidRPr="001875CD" w:rsidRDefault="006F76A6" w:rsidP="00240D88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1875CD">
              <w:rPr>
                <w:color w:val="auto"/>
                <w:sz w:val="18"/>
                <w:szCs w:val="18"/>
              </w:rPr>
              <w:tab/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 xml:space="preserve">Het </w:t>
            </w:r>
            <w:r w:rsidR="0023776D">
              <w:rPr>
                <w:rFonts w:cs="Arial"/>
                <w:color w:val="000000" w:themeColor="text1"/>
                <w:sz w:val="18"/>
                <w:szCs w:val="18"/>
              </w:rPr>
              <w:t>(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>lijn</w:t>
            </w:r>
            <w:r w:rsidR="002377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 xml:space="preserve">management is inhoudelijk geadviseerd over en (administratief) ondersteund bij </w:t>
            </w:r>
            <w:r w:rsidR="0023776D">
              <w:rPr>
                <w:rFonts w:cs="Arial"/>
                <w:color w:val="000000" w:themeColor="text1"/>
                <w:sz w:val="18"/>
                <w:szCs w:val="18"/>
              </w:rPr>
              <w:t xml:space="preserve">de uitvoering van (operationele) HR-processen en 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 xml:space="preserve">de </w:t>
            </w:r>
            <w:r w:rsidR="0023776D">
              <w:rPr>
                <w:rFonts w:cs="Arial"/>
                <w:color w:val="000000" w:themeColor="text1"/>
                <w:sz w:val="18"/>
                <w:szCs w:val="18"/>
              </w:rPr>
              <w:t>afhandeling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 xml:space="preserve"> van HR-issues, waardoor de afhandeling van HR-vraagstukken optimaal verloopt. 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23776D" w:rsidRDefault="0023776D" w:rsidP="0023776D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ab/>
              <w:t>conform HR-(beleids)kaders, juiste toepassing regels en procedures.</w:t>
            </w:r>
          </w:p>
          <w:p w:rsidR="006F76A6" w:rsidRDefault="006F76A6" w:rsidP="0023776D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ab/>
              <w:t>aansluitend op probleemstelling;</w:t>
            </w:r>
          </w:p>
          <w:p w:rsidR="0023776D" w:rsidRPr="001875CD" w:rsidRDefault="0023776D" w:rsidP="0023776D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ab/>
              <w:t>effectiviteit afhandeling;</w:t>
            </w:r>
          </w:p>
          <w:p w:rsidR="006F76A6" w:rsidRPr="001875CD" w:rsidRDefault="006F76A6" w:rsidP="00240D88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ab/>
              <w:t xml:space="preserve">tevredenheid </w:t>
            </w:r>
            <w:r w:rsidR="0023776D">
              <w:rPr>
                <w:rFonts w:cs="Arial"/>
                <w:color w:val="000000" w:themeColor="text1"/>
                <w:sz w:val="18"/>
                <w:szCs w:val="18"/>
              </w:rPr>
              <w:t>(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>lijn</w:t>
            </w:r>
            <w:r w:rsidR="0023776D">
              <w:rPr>
                <w:rFonts w:cs="Arial"/>
                <w:color w:val="000000" w:themeColor="text1"/>
                <w:sz w:val="18"/>
                <w:szCs w:val="18"/>
              </w:rPr>
              <w:t>)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>management.</w:t>
            </w:r>
          </w:p>
        </w:tc>
      </w:tr>
      <w:tr w:rsidR="001875CD" w:rsidRPr="00EA6EFB" w:rsidTr="001603C7"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875CD" w:rsidRPr="001875CD" w:rsidRDefault="006F76A6" w:rsidP="001875CD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</w:t>
            </w:r>
            <w:r w:rsidR="001875CD" w:rsidRPr="001875CD">
              <w:rPr>
                <w:b/>
                <w:color w:val="auto"/>
                <w:sz w:val="18"/>
                <w:szCs w:val="18"/>
              </w:rPr>
              <w:t>.</w:t>
            </w:r>
            <w:r w:rsidR="001875CD" w:rsidRPr="001875CD">
              <w:rPr>
                <w:b/>
                <w:color w:val="auto"/>
                <w:sz w:val="18"/>
                <w:szCs w:val="18"/>
              </w:rPr>
              <w:tab/>
            </w:r>
            <w:r>
              <w:rPr>
                <w:b/>
                <w:color w:val="auto"/>
                <w:sz w:val="18"/>
                <w:szCs w:val="18"/>
              </w:rPr>
              <w:t>Actualisatie</w:t>
            </w:r>
            <w:r w:rsidR="00654543">
              <w:rPr>
                <w:b/>
                <w:color w:val="auto"/>
                <w:sz w:val="18"/>
                <w:szCs w:val="18"/>
              </w:rPr>
              <w:t xml:space="preserve"> HR-instrumenten en -regelingen</w:t>
            </w:r>
          </w:p>
          <w:p w:rsidR="001875CD" w:rsidRPr="001875CD" w:rsidRDefault="001875CD" w:rsidP="0023776D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1875CD">
              <w:rPr>
                <w:color w:val="auto"/>
                <w:sz w:val="18"/>
                <w:szCs w:val="18"/>
              </w:rPr>
              <w:tab/>
            </w:r>
            <w:r w:rsidR="006F76A6">
              <w:rPr>
                <w:color w:val="auto"/>
                <w:sz w:val="18"/>
                <w:szCs w:val="18"/>
              </w:rPr>
              <w:t>De leidinggevende is geadvis</w:t>
            </w:r>
            <w:r w:rsidR="0023776D">
              <w:rPr>
                <w:color w:val="auto"/>
                <w:sz w:val="18"/>
                <w:szCs w:val="18"/>
              </w:rPr>
              <w:t>eerd over de aanpassing voor aanpassing/actualisatie van HR-instrumenten en -regelingen, rekening houdend met trends en ontwikkelingen in het vakgebied en behoeften vanuit de organisatie. Adviezen zijn uitgewerkt naar concrete voorstellen en na accordering effectief geïmplementeerd.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875CD" w:rsidRPr="001875CD" w:rsidRDefault="001875CD" w:rsidP="001875CD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  <w:lang w:bidi="x-none"/>
              </w:rPr>
            </w:pPr>
            <w:r w:rsidRPr="001875C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-</w:t>
            </w:r>
            <w:r w:rsidRPr="001875C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ab/>
              <w:t>onderbouwde en geaccepteerde adviezen;</w:t>
            </w:r>
          </w:p>
          <w:p w:rsidR="001875CD" w:rsidRPr="001875CD" w:rsidRDefault="001875CD" w:rsidP="001875CD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  <w:lang w:bidi="x-none"/>
              </w:rPr>
            </w:pPr>
            <w:r w:rsidRPr="001875C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-</w:t>
            </w:r>
            <w:r w:rsidRPr="001875C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ab/>
              <w:t xml:space="preserve">uitwerkingen aansluitend op </w:t>
            </w:r>
            <w:r w:rsidR="0023776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HR-</w:t>
            </w:r>
            <w:r w:rsidRPr="001875C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beleidskaders</w:t>
            </w:r>
            <w:r w:rsidR="0023776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 xml:space="preserve">, </w:t>
            </w:r>
            <w:r w:rsidRPr="001875C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wet</w:t>
            </w:r>
            <w:r w:rsidR="0023776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- en regel</w:t>
            </w:r>
            <w:r w:rsidRPr="001875C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geving</w:t>
            </w:r>
            <w:r w:rsidR="0023776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, wensen en</w:t>
            </w:r>
            <w:r w:rsidRPr="001875C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 xml:space="preserve"> behoeften, specifieke in- en externe factoren;</w:t>
            </w:r>
          </w:p>
          <w:p w:rsidR="001875CD" w:rsidRPr="001875CD" w:rsidRDefault="001875CD" w:rsidP="001875CD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1875C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>-</w:t>
            </w:r>
            <w:r w:rsidRPr="001875CD">
              <w:rPr>
                <w:rFonts w:cs="Arial"/>
                <w:color w:val="000000" w:themeColor="text1"/>
                <w:sz w:val="18"/>
                <w:szCs w:val="18"/>
                <w:lang w:bidi="x-none"/>
              </w:rPr>
              <w:tab/>
              <w:t xml:space="preserve">acceptatie bij management, OR. </w:t>
            </w:r>
          </w:p>
        </w:tc>
      </w:tr>
      <w:tr w:rsidR="001875CD" w:rsidRPr="00EA6EFB" w:rsidTr="001603C7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875CD" w:rsidRPr="001875CD" w:rsidRDefault="00656A9D" w:rsidP="001875CD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3</w:t>
            </w:r>
            <w:r w:rsidR="001875CD" w:rsidRPr="001875CD">
              <w:rPr>
                <w:b/>
                <w:color w:val="auto"/>
                <w:sz w:val="18"/>
                <w:szCs w:val="18"/>
              </w:rPr>
              <w:t>.</w:t>
            </w:r>
            <w:r w:rsidR="001875CD" w:rsidRPr="001875CD">
              <w:rPr>
                <w:b/>
                <w:color w:val="auto"/>
                <w:sz w:val="18"/>
                <w:szCs w:val="18"/>
              </w:rPr>
              <w:tab/>
            </w:r>
            <w:r w:rsidR="00654543">
              <w:rPr>
                <w:b/>
                <w:color w:val="auto"/>
                <w:sz w:val="18"/>
                <w:szCs w:val="18"/>
              </w:rPr>
              <w:t>HR-communicatie</w:t>
            </w:r>
          </w:p>
          <w:p w:rsidR="001875CD" w:rsidRPr="001875CD" w:rsidRDefault="001875CD" w:rsidP="001875CD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1875CD">
              <w:rPr>
                <w:color w:val="auto"/>
                <w:sz w:val="18"/>
                <w:szCs w:val="18"/>
              </w:rPr>
              <w:tab/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 xml:space="preserve">Medewerkers zijn geïnformeerd </w:t>
            </w:r>
            <w:r w:rsidR="00656A9D">
              <w:rPr>
                <w:rFonts w:cs="Arial"/>
                <w:color w:val="000000" w:themeColor="text1"/>
                <w:sz w:val="18"/>
                <w:szCs w:val="18"/>
              </w:rPr>
              <w:t>over (nieuwe) HR-regelingen, eventueel toegesneden op de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 xml:space="preserve"> specifiek</w:t>
            </w:r>
            <w:r w:rsidR="00656A9D">
              <w:rPr>
                <w:rFonts w:cs="Arial"/>
                <w:color w:val="000000" w:themeColor="text1"/>
                <w:sz w:val="18"/>
                <w:szCs w:val="18"/>
              </w:rPr>
              <w:t>e situatie van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 xml:space="preserve"> (individuele) medewerkers, met als doel het bieden van duidelijkheid en transparantie.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875CD" w:rsidRPr="001875CD" w:rsidRDefault="001875CD" w:rsidP="001875CD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ab/>
              <w:t>kwaliteit van informatievoorziening;</w:t>
            </w:r>
          </w:p>
          <w:p w:rsidR="001875CD" w:rsidRPr="001875CD" w:rsidRDefault="001875CD" w:rsidP="001875CD">
            <w:pPr>
              <w:spacing w:line="240" w:lineRule="auto"/>
              <w:ind w:left="284" w:hanging="284"/>
              <w:rPr>
                <w:rFonts w:cs="Arial"/>
                <w:color w:val="000000" w:themeColor="text1"/>
                <w:sz w:val="18"/>
                <w:szCs w:val="18"/>
              </w:rPr>
            </w:pP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 w:rsidRPr="001875CD">
              <w:rPr>
                <w:rFonts w:cs="Arial"/>
                <w:color w:val="000000" w:themeColor="text1"/>
                <w:sz w:val="18"/>
                <w:szCs w:val="18"/>
              </w:rPr>
              <w:tab/>
              <w:t>aansluitend op vraagstelling, situatie (individuele) medewerkers;</w:t>
            </w:r>
          </w:p>
          <w:p w:rsidR="001875CD" w:rsidRPr="001875CD" w:rsidRDefault="006F76A6" w:rsidP="001875CD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-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ab/>
              <w:t>tevredenheid medewerkers</w:t>
            </w:r>
            <w:r w:rsidR="001875CD" w:rsidRPr="001875CD">
              <w:rPr>
                <w:rFonts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875CD" w:rsidRPr="00EA6EFB" w:rsidTr="001603C7">
        <w:trPr>
          <w:trHeight w:val="575"/>
        </w:trPr>
        <w:tc>
          <w:tcPr>
            <w:tcW w:w="1007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875CD" w:rsidRPr="001875CD" w:rsidRDefault="00656A9D" w:rsidP="003A231F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4</w:t>
            </w:r>
            <w:r w:rsidR="001875CD" w:rsidRPr="001875CD">
              <w:rPr>
                <w:b/>
                <w:color w:val="auto"/>
                <w:sz w:val="18"/>
                <w:szCs w:val="18"/>
              </w:rPr>
              <w:t>.</w:t>
            </w:r>
            <w:r w:rsidR="001875CD" w:rsidRPr="001875CD">
              <w:rPr>
                <w:b/>
                <w:color w:val="auto"/>
                <w:sz w:val="18"/>
                <w:szCs w:val="18"/>
              </w:rPr>
              <w:tab/>
              <w:t>HR-administratie en rapportages</w:t>
            </w:r>
          </w:p>
          <w:p w:rsidR="001875CD" w:rsidRPr="001875CD" w:rsidRDefault="001875CD" w:rsidP="003A231F">
            <w:pPr>
              <w:spacing w:line="240" w:lineRule="auto"/>
              <w:ind w:left="284" w:hanging="284"/>
              <w:rPr>
                <w:b/>
                <w:color w:val="auto"/>
                <w:sz w:val="18"/>
                <w:szCs w:val="18"/>
              </w:rPr>
            </w:pPr>
            <w:r w:rsidRPr="001875CD">
              <w:rPr>
                <w:b/>
                <w:color w:val="auto"/>
                <w:sz w:val="18"/>
                <w:szCs w:val="18"/>
              </w:rPr>
              <w:tab/>
            </w:r>
            <w:r w:rsidRPr="001875CD">
              <w:rPr>
                <w:rFonts w:cs="Arial"/>
                <w:color w:val="auto"/>
                <w:sz w:val="18"/>
                <w:szCs w:val="18"/>
              </w:rPr>
              <w:t>Relevante HR-informatie is verzameld, bewerkt, vastgelegd en beheerd in diverse administraties. Via duidelijke managementinformatie heeft het (lijn)management inzicht in relevante HR-aspecten.</w:t>
            </w:r>
          </w:p>
        </w:tc>
        <w:tc>
          <w:tcPr>
            <w:tcW w:w="450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1875CD" w:rsidRPr="001875CD" w:rsidRDefault="001875CD" w:rsidP="001875CD">
            <w:pPr>
              <w:spacing w:line="240" w:lineRule="auto"/>
              <w:ind w:left="284" w:hanging="284"/>
              <w:rPr>
                <w:rFonts w:cs="Arial"/>
                <w:color w:val="auto"/>
                <w:sz w:val="18"/>
                <w:szCs w:val="18"/>
                <w:lang w:bidi="x-none"/>
              </w:rPr>
            </w:pPr>
            <w:r w:rsidRPr="001875CD">
              <w:rPr>
                <w:rFonts w:cs="Arial"/>
                <w:color w:val="auto"/>
                <w:sz w:val="18"/>
                <w:szCs w:val="18"/>
                <w:lang w:bidi="x-none"/>
              </w:rPr>
              <w:t>-</w:t>
            </w:r>
            <w:r w:rsidRPr="001875CD">
              <w:rPr>
                <w:rFonts w:cs="Arial"/>
                <w:color w:val="auto"/>
                <w:sz w:val="18"/>
                <w:szCs w:val="18"/>
                <w:lang w:bidi="x-none"/>
              </w:rPr>
              <w:tab/>
              <w:t>juistheid, volledigheid, actualiteit van registraties</w:t>
            </w:r>
            <w:r w:rsidR="001F22AF">
              <w:rPr>
                <w:rFonts w:cs="Arial"/>
                <w:color w:val="auto"/>
                <w:sz w:val="18"/>
                <w:szCs w:val="18"/>
                <w:lang w:bidi="x-none"/>
              </w:rPr>
              <w:t>;</w:t>
            </w:r>
          </w:p>
          <w:p w:rsidR="001875CD" w:rsidRPr="001875CD" w:rsidRDefault="001875CD" w:rsidP="001875CD">
            <w:pPr>
              <w:tabs>
                <w:tab w:val="left" w:pos="1200"/>
              </w:tabs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1875CD">
              <w:rPr>
                <w:rFonts w:cs="Arial"/>
                <w:color w:val="auto"/>
                <w:sz w:val="18"/>
                <w:szCs w:val="18"/>
                <w:lang w:bidi="x-none"/>
              </w:rPr>
              <w:t>-</w:t>
            </w:r>
            <w:r w:rsidRPr="001875CD">
              <w:rPr>
                <w:rFonts w:cs="Arial"/>
                <w:color w:val="auto"/>
                <w:sz w:val="18"/>
                <w:szCs w:val="18"/>
                <w:lang w:bidi="x-none"/>
              </w:rPr>
              <w:tab/>
              <w:t>juiste, tijdige informatievoorziening richting in- en extern betrokkenen.</w:t>
            </w:r>
          </w:p>
        </w:tc>
      </w:tr>
      <w:tr w:rsidR="003A231F" w:rsidRPr="00EA6EFB" w:rsidTr="001603C7">
        <w:trPr>
          <w:trHeight w:val="301"/>
        </w:trPr>
        <w:tc>
          <w:tcPr>
            <w:tcW w:w="1457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3A231F" w:rsidRPr="001875CD" w:rsidRDefault="003A231F" w:rsidP="003A231F">
            <w:pPr>
              <w:spacing w:line="240" w:lineRule="auto"/>
              <w:ind w:left="284" w:hanging="284"/>
              <w:rPr>
                <w:color w:val="F18213"/>
                <w:sz w:val="18"/>
                <w:szCs w:val="18"/>
              </w:rPr>
            </w:pPr>
            <w:r w:rsidRPr="001875CD">
              <w:rPr>
                <w:b/>
                <w:color w:val="F18213"/>
                <w:sz w:val="18"/>
                <w:szCs w:val="18"/>
              </w:rPr>
              <w:t>Bezwarende werkomstandigheden</w:t>
            </w:r>
          </w:p>
          <w:p w:rsidR="003A231F" w:rsidRPr="001875CD" w:rsidRDefault="003A231F" w:rsidP="003A231F">
            <w:pPr>
              <w:spacing w:line="240" w:lineRule="auto"/>
              <w:ind w:left="284" w:hanging="284"/>
              <w:rPr>
                <w:color w:val="auto"/>
                <w:sz w:val="18"/>
                <w:szCs w:val="18"/>
              </w:rPr>
            </w:pPr>
            <w:r w:rsidRPr="001875CD">
              <w:rPr>
                <w:color w:val="auto"/>
                <w:sz w:val="18"/>
                <w:szCs w:val="18"/>
              </w:rPr>
              <w:t>-</w:t>
            </w:r>
            <w:r w:rsidRPr="001875CD">
              <w:rPr>
                <w:color w:val="auto"/>
                <w:sz w:val="18"/>
                <w:szCs w:val="18"/>
              </w:rPr>
              <w:tab/>
            </w:r>
            <w:r w:rsidR="001875CD" w:rsidRPr="001875CD">
              <w:rPr>
                <w:color w:val="auto"/>
                <w:sz w:val="18"/>
                <w:szCs w:val="18"/>
              </w:rPr>
              <w:t>Geen bijzondere.</w:t>
            </w:r>
          </w:p>
        </w:tc>
      </w:tr>
    </w:tbl>
    <w:p w:rsidR="00CA42AF" w:rsidRPr="00EA6EFB" w:rsidRDefault="00EA6EFB" w:rsidP="00EA6EFB">
      <w:pPr>
        <w:tabs>
          <w:tab w:val="right" w:pos="14570"/>
        </w:tabs>
        <w:spacing w:line="240" w:lineRule="auto"/>
        <w:rPr>
          <w:color w:val="auto"/>
          <w:sz w:val="14"/>
          <w:szCs w:val="14"/>
        </w:rPr>
      </w:pPr>
      <w:bookmarkStart w:id="0" w:name="_GoBack"/>
      <w:bookmarkEnd w:id="0"/>
      <w:r>
        <w:rPr>
          <w:i/>
          <w:color w:val="auto"/>
          <w:sz w:val="16"/>
        </w:rPr>
        <w:tab/>
      </w:r>
    </w:p>
    <w:sectPr w:rsidR="00CA42AF" w:rsidRPr="00EA6EFB" w:rsidSect="009D0165">
      <w:headerReference w:type="default" r:id="rId7"/>
      <w:footerReference w:type="default" r:id="rId8"/>
      <w:pgSz w:w="16838" w:h="11899" w:orient="landscape"/>
      <w:pgMar w:top="1134" w:right="1134" w:bottom="1134" w:left="1134" w:header="113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56D" w:rsidRDefault="00DD256D" w:rsidP="001073D2">
      <w:pPr>
        <w:spacing w:line="240" w:lineRule="auto"/>
      </w:pPr>
      <w:r>
        <w:separator/>
      </w:r>
    </w:p>
  </w:endnote>
  <w:endnote w:type="continuationSeparator" w:id="0">
    <w:p w:rsidR="00DD256D" w:rsidRDefault="00DD256D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75D" w:rsidRPr="00FF5B7D" w:rsidRDefault="000C1D4D" w:rsidP="000C1D4D">
    <w:pPr>
      <w:pStyle w:val="Voettekst"/>
      <w:tabs>
        <w:tab w:val="clear" w:pos="4153"/>
        <w:tab w:val="clear" w:pos="8306"/>
        <w:tab w:val="right" w:pos="15026"/>
      </w:tabs>
      <w:spacing w:line="240" w:lineRule="atLeast"/>
      <w:ind w:right="-518"/>
      <w:jc w:val="left"/>
      <w:rPr>
        <w:b/>
        <w:color w:val="auto"/>
        <w:sz w:val="16"/>
      </w:rPr>
    </w:pPr>
    <w:r>
      <w:rPr>
        <w:color w:val="auto"/>
        <w:sz w:val="16"/>
      </w:rPr>
      <w:t>Opgesteld door EVZ organisatie-advies</w:t>
    </w:r>
    <w:r w:rsidR="00182624">
      <w:rPr>
        <w:color w:val="auto"/>
        <w:sz w:val="16"/>
      </w:rPr>
      <w:t xml:space="preserve"> </w:t>
    </w:r>
    <w:r w:rsidR="00CE1D21">
      <w:rPr>
        <w:color w:val="auto"/>
        <w:sz w:val="16"/>
      </w:rPr>
      <w:t xml:space="preserve">| </w:t>
    </w:r>
    <w:r w:rsidR="009C2A23">
      <w:rPr>
        <w:color w:val="auto"/>
        <w:sz w:val="16"/>
      </w:rPr>
      <w:t>24</w:t>
    </w:r>
    <w:r w:rsidR="00F50ADE">
      <w:rPr>
        <w:color w:val="auto"/>
        <w:sz w:val="16"/>
      </w:rPr>
      <w:t>09</w:t>
    </w:r>
    <w:r w:rsidR="00182624">
      <w:rPr>
        <w:color w:val="auto"/>
        <w:sz w:val="16"/>
      </w:rPr>
      <w:t>18</w:t>
    </w:r>
    <w:r w:rsidR="00CA42AF">
      <w:rPr>
        <w:noProof/>
        <w:color w:val="auto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56D" w:rsidRDefault="00DD256D" w:rsidP="001073D2">
      <w:pPr>
        <w:spacing w:line="240" w:lineRule="auto"/>
      </w:pPr>
      <w:r>
        <w:separator/>
      </w:r>
    </w:p>
  </w:footnote>
  <w:footnote w:type="continuationSeparator" w:id="0">
    <w:p w:rsidR="00DD256D" w:rsidRDefault="00DD256D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0F94" w:rsidRPr="001C6E47" w:rsidRDefault="009D0165" w:rsidP="00EA3029">
    <w:pPr>
      <w:pStyle w:val="Koptekst"/>
      <w:tabs>
        <w:tab w:val="clear" w:pos="4153"/>
        <w:tab w:val="clear" w:pos="8306"/>
        <w:tab w:val="left" w:pos="851"/>
        <w:tab w:val="center" w:pos="5245"/>
        <w:tab w:val="right" w:pos="9639"/>
      </w:tabs>
      <w:ind w:left="1134" w:right="-292" w:hanging="1134"/>
      <w:jc w:val="left"/>
      <w:rPr>
        <w:color w:val="auto"/>
        <w:sz w:val="16"/>
        <w:szCs w:val="16"/>
        <w:lang w:eastAsia="nl-NL"/>
      </w:rPr>
    </w:pPr>
    <w:r>
      <w:rPr>
        <w:noProof/>
        <w:lang w:eastAsia="nl-NL"/>
      </w:rPr>
      <w:t>FUNCTIE-OMSCHRIJVING</w:t>
    </w:r>
    <w:r w:rsidR="00EA3029">
      <w:rPr>
        <w:noProof/>
        <w:lang w:eastAsia="nl-NL"/>
      </w:rPr>
      <w:tab/>
    </w:r>
    <w:r w:rsidR="00EA3029">
      <w:rPr>
        <w:noProof/>
        <w:lang w:eastAsia="nl-N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2A74"/>
    <w:multiLevelType w:val="hybridMultilevel"/>
    <w:tmpl w:val="16C867C6"/>
    <w:lvl w:ilvl="0" w:tplc="6B2EEC9A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w w:val="0"/>
      </w:rPr>
    </w:lvl>
    <w:lvl w:ilvl="1" w:tplc="900CE584"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eastAsia="Times New Roman" w:hAnsi="Symbol" w:hint="default"/>
        <w:color w:val="auto"/>
        <w:w w:val="0"/>
      </w:rPr>
    </w:lvl>
    <w:lvl w:ilvl="2" w:tplc="4070EEF8">
      <w:start w:val="1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w w:val="0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820E9"/>
    <w:multiLevelType w:val="hybridMultilevel"/>
    <w:tmpl w:val="43CEAB5E"/>
    <w:lvl w:ilvl="0" w:tplc="3EE84854">
      <w:start w:val="10"/>
      <w:numFmt w:val="bullet"/>
      <w:lvlText w:val="-"/>
      <w:lvlJc w:val="left"/>
      <w:pPr>
        <w:tabs>
          <w:tab w:val="num" w:pos="284"/>
        </w:tabs>
        <w:ind w:left="170" w:hanging="170"/>
      </w:pPr>
      <w:rPr>
        <w:rFonts w:ascii="Times New Roman" w:eastAsia="Times New Roman" w:hAnsi="Times New Roman" w:hint="default"/>
        <w:w w:val="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1DDD"/>
    <w:multiLevelType w:val="hybridMultilevel"/>
    <w:tmpl w:val="DCA09B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1132C"/>
    <w:multiLevelType w:val="hybridMultilevel"/>
    <w:tmpl w:val="D3EA6504"/>
    <w:lvl w:ilvl="0" w:tplc="A866F3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B49BD"/>
    <w:multiLevelType w:val="hybridMultilevel"/>
    <w:tmpl w:val="1C6CC78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F67865"/>
    <w:multiLevelType w:val="hybridMultilevel"/>
    <w:tmpl w:val="1BFE32B8"/>
    <w:lvl w:ilvl="0" w:tplc="5AF6E2EC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CD"/>
    <w:rsid w:val="00013FFA"/>
    <w:rsid w:val="00022563"/>
    <w:rsid w:val="0003637C"/>
    <w:rsid w:val="00040B6A"/>
    <w:rsid w:val="00051C43"/>
    <w:rsid w:val="00053F25"/>
    <w:rsid w:val="000551E2"/>
    <w:rsid w:val="0006753D"/>
    <w:rsid w:val="00075FF0"/>
    <w:rsid w:val="0008707B"/>
    <w:rsid w:val="000A4E2C"/>
    <w:rsid w:val="000C1D4D"/>
    <w:rsid w:val="000D2FA7"/>
    <w:rsid w:val="000F4C84"/>
    <w:rsid w:val="00104089"/>
    <w:rsid w:val="00104B2A"/>
    <w:rsid w:val="00106FB4"/>
    <w:rsid w:val="00107BB5"/>
    <w:rsid w:val="001133FD"/>
    <w:rsid w:val="00121D7A"/>
    <w:rsid w:val="00132C5B"/>
    <w:rsid w:val="00140BCD"/>
    <w:rsid w:val="00146FF6"/>
    <w:rsid w:val="001603C7"/>
    <w:rsid w:val="00161FEA"/>
    <w:rsid w:val="00182624"/>
    <w:rsid w:val="001875CD"/>
    <w:rsid w:val="0019223A"/>
    <w:rsid w:val="001C1117"/>
    <w:rsid w:val="001D08A5"/>
    <w:rsid w:val="001D162D"/>
    <w:rsid w:val="001D2817"/>
    <w:rsid w:val="001D5401"/>
    <w:rsid w:val="001F08A7"/>
    <w:rsid w:val="001F22AF"/>
    <w:rsid w:val="0020526E"/>
    <w:rsid w:val="0023776D"/>
    <w:rsid w:val="00262F78"/>
    <w:rsid w:val="00270359"/>
    <w:rsid w:val="00276091"/>
    <w:rsid w:val="0028588A"/>
    <w:rsid w:val="00290ACF"/>
    <w:rsid w:val="002A6A1A"/>
    <w:rsid w:val="002C683A"/>
    <w:rsid w:val="002D200C"/>
    <w:rsid w:val="002E33B9"/>
    <w:rsid w:val="002E7FFB"/>
    <w:rsid w:val="00302BD4"/>
    <w:rsid w:val="00310C75"/>
    <w:rsid w:val="00314EFF"/>
    <w:rsid w:val="00325124"/>
    <w:rsid w:val="0033575D"/>
    <w:rsid w:val="003421EC"/>
    <w:rsid w:val="00346AD4"/>
    <w:rsid w:val="00362B10"/>
    <w:rsid w:val="00384ED9"/>
    <w:rsid w:val="003865F8"/>
    <w:rsid w:val="003A231F"/>
    <w:rsid w:val="003A2926"/>
    <w:rsid w:val="003A6A37"/>
    <w:rsid w:val="003D7528"/>
    <w:rsid w:val="003E4B90"/>
    <w:rsid w:val="003F2780"/>
    <w:rsid w:val="003F6334"/>
    <w:rsid w:val="004019B8"/>
    <w:rsid w:val="00402C31"/>
    <w:rsid w:val="004046FC"/>
    <w:rsid w:val="00411199"/>
    <w:rsid w:val="00412AF7"/>
    <w:rsid w:val="00433421"/>
    <w:rsid w:val="004336DD"/>
    <w:rsid w:val="0043413A"/>
    <w:rsid w:val="00446423"/>
    <w:rsid w:val="00447F40"/>
    <w:rsid w:val="004555B8"/>
    <w:rsid w:val="00466101"/>
    <w:rsid w:val="004701E5"/>
    <w:rsid w:val="00471764"/>
    <w:rsid w:val="00480617"/>
    <w:rsid w:val="004840F6"/>
    <w:rsid w:val="00485B2C"/>
    <w:rsid w:val="00495514"/>
    <w:rsid w:val="004A26B5"/>
    <w:rsid w:val="004D15C9"/>
    <w:rsid w:val="004D4448"/>
    <w:rsid w:val="004F0259"/>
    <w:rsid w:val="00522558"/>
    <w:rsid w:val="00534425"/>
    <w:rsid w:val="005433E0"/>
    <w:rsid w:val="00561A5B"/>
    <w:rsid w:val="00566BE9"/>
    <w:rsid w:val="005711CD"/>
    <w:rsid w:val="005A3CA4"/>
    <w:rsid w:val="005A61A1"/>
    <w:rsid w:val="005C0665"/>
    <w:rsid w:val="005D06A7"/>
    <w:rsid w:val="005D4C90"/>
    <w:rsid w:val="005D5B9F"/>
    <w:rsid w:val="005F7665"/>
    <w:rsid w:val="00626639"/>
    <w:rsid w:val="00631002"/>
    <w:rsid w:val="00634939"/>
    <w:rsid w:val="006461F9"/>
    <w:rsid w:val="00654543"/>
    <w:rsid w:val="00656A9D"/>
    <w:rsid w:val="00671AE0"/>
    <w:rsid w:val="00677180"/>
    <w:rsid w:val="0069188A"/>
    <w:rsid w:val="006A62C1"/>
    <w:rsid w:val="006A63DE"/>
    <w:rsid w:val="006F4BE7"/>
    <w:rsid w:val="006F76A6"/>
    <w:rsid w:val="007055A1"/>
    <w:rsid w:val="007119E8"/>
    <w:rsid w:val="00730CFB"/>
    <w:rsid w:val="00742901"/>
    <w:rsid w:val="00767896"/>
    <w:rsid w:val="00784BAD"/>
    <w:rsid w:val="007A39E5"/>
    <w:rsid w:val="007C6EB2"/>
    <w:rsid w:val="007E0458"/>
    <w:rsid w:val="007E16FA"/>
    <w:rsid w:val="007E18CB"/>
    <w:rsid w:val="00834FD0"/>
    <w:rsid w:val="00860F94"/>
    <w:rsid w:val="00871734"/>
    <w:rsid w:val="00885810"/>
    <w:rsid w:val="0088745A"/>
    <w:rsid w:val="008922CA"/>
    <w:rsid w:val="008933A4"/>
    <w:rsid w:val="008A4466"/>
    <w:rsid w:val="008B24C1"/>
    <w:rsid w:val="008C1DC2"/>
    <w:rsid w:val="008E0FD2"/>
    <w:rsid w:val="008F4609"/>
    <w:rsid w:val="00917D61"/>
    <w:rsid w:val="009324D5"/>
    <w:rsid w:val="00935A3C"/>
    <w:rsid w:val="00940DC3"/>
    <w:rsid w:val="00952F07"/>
    <w:rsid w:val="00954BBA"/>
    <w:rsid w:val="009561BF"/>
    <w:rsid w:val="00967A3B"/>
    <w:rsid w:val="009775D9"/>
    <w:rsid w:val="00982060"/>
    <w:rsid w:val="00993E3B"/>
    <w:rsid w:val="009A3AC2"/>
    <w:rsid w:val="009A7A9A"/>
    <w:rsid w:val="009C2A23"/>
    <w:rsid w:val="009C4CAC"/>
    <w:rsid w:val="009D0165"/>
    <w:rsid w:val="009E2117"/>
    <w:rsid w:val="00A10A67"/>
    <w:rsid w:val="00A11CB3"/>
    <w:rsid w:val="00A16B2F"/>
    <w:rsid w:val="00A2570B"/>
    <w:rsid w:val="00A34E64"/>
    <w:rsid w:val="00A43B27"/>
    <w:rsid w:val="00A50D1E"/>
    <w:rsid w:val="00A51BFC"/>
    <w:rsid w:val="00A54130"/>
    <w:rsid w:val="00A5704B"/>
    <w:rsid w:val="00A743ED"/>
    <w:rsid w:val="00A800D1"/>
    <w:rsid w:val="00A82F7F"/>
    <w:rsid w:val="00A86568"/>
    <w:rsid w:val="00AA2317"/>
    <w:rsid w:val="00AB1C28"/>
    <w:rsid w:val="00AB37CE"/>
    <w:rsid w:val="00AB49A5"/>
    <w:rsid w:val="00AB6EB9"/>
    <w:rsid w:val="00AC1B26"/>
    <w:rsid w:val="00AE215C"/>
    <w:rsid w:val="00AE5940"/>
    <w:rsid w:val="00AF01E2"/>
    <w:rsid w:val="00B12033"/>
    <w:rsid w:val="00B122E7"/>
    <w:rsid w:val="00B122ED"/>
    <w:rsid w:val="00B55E09"/>
    <w:rsid w:val="00B87542"/>
    <w:rsid w:val="00BA56DD"/>
    <w:rsid w:val="00BA6A0F"/>
    <w:rsid w:val="00BB179D"/>
    <w:rsid w:val="00BB6CA9"/>
    <w:rsid w:val="00BE00B0"/>
    <w:rsid w:val="00BE0D31"/>
    <w:rsid w:val="00BE2B77"/>
    <w:rsid w:val="00BE4B9D"/>
    <w:rsid w:val="00BF7DF7"/>
    <w:rsid w:val="00C30CE9"/>
    <w:rsid w:val="00C3362A"/>
    <w:rsid w:val="00C65722"/>
    <w:rsid w:val="00C7335F"/>
    <w:rsid w:val="00C858A3"/>
    <w:rsid w:val="00CA42AF"/>
    <w:rsid w:val="00CD5605"/>
    <w:rsid w:val="00CE1D21"/>
    <w:rsid w:val="00CF5A4D"/>
    <w:rsid w:val="00D13821"/>
    <w:rsid w:val="00D20E02"/>
    <w:rsid w:val="00D2297E"/>
    <w:rsid w:val="00D23048"/>
    <w:rsid w:val="00D32D16"/>
    <w:rsid w:val="00D47925"/>
    <w:rsid w:val="00D47F61"/>
    <w:rsid w:val="00D92D37"/>
    <w:rsid w:val="00D932EE"/>
    <w:rsid w:val="00DA19B1"/>
    <w:rsid w:val="00DA4EDD"/>
    <w:rsid w:val="00DD256D"/>
    <w:rsid w:val="00DD390C"/>
    <w:rsid w:val="00DE4471"/>
    <w:rsid w:val="00DF6A29"/>
    <w:rsid w:val="00E2483A"/>
    <w:rsid w:val="00E25AD2"/>
    <w:rsid w:val="00E263E5"/>
    <w:rsid w:val="00E27B4B"/>
    <w:rsid w:val="00E60F30"/>
    <w:rsid w:val="00E6295D"/>
    <w:rsid w:val="00E62C18"/>
    <w:rsid w:val="00E62C80"/>
    <w:rsid w:val="00EA3029"/>
    <w:rsid w:val="00EA576C"/>
    <w:rsid w:val="00EA6EFB"/>
    <w:rsid w:val="00ED3481"/>
    <w:rsid w:val="00F0639D"/>
    <w:rsid w:val="00F077CF"/>
    <w:rsid w:val="00F14B08"/>
    <w:rsid w:val="00F26B4F"/>
    <w:rsid w:val="00F42091"/>
    <w:rsid w:val="00F50760"/>
    <w:rsid w:val="00F50ADE"/>
    <w:rsid w:val="00F572C7"/>
    <w:rsid w:val="00F615E3"/>
    <w:rsid w:val="00F61A5B"/>
    <w:rsid w:val="00F7095C"/>
    <w:rsid w:val="00F75390"/>
    <w:rsid w:val="00FB185E"/>
    <w:rsid w:val="00FC7F1C"/>
    <w:rsid w:val="00FD1EA7"/>
    <w:rsid w:val="00FD3684"/>
    <w:rsid w:val="00FE51F1"/>
    <w:rsid w:val="00FF5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62E2F9E2-ACE8-7F41-AD99-238EE18A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link w:val="VoettekstChar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480617"/>
    <w:pPr>
      <w:ind w:left="720"/>
      <w:contextualSpacing/>
    </w:pPr>
  </w:style>
  <w:style w:type="paragraph" w:styleId="Ballontekst">
    <w:name w:val="Balloon Text"/>
    <w:basedOn w:val="Standaard"/>
    <w:link w:val="BallontekstChar"/>
    <w:semiHidden/>
    <w:unhideWhenUsed/>
    <w:rsid w:val="0008707B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707B"/>
    <w:rPr>
      <w:color w:val="333333"/>
      <w:sz w:val="18"/>
      <w:szCs w:val="18"/>
      <w:lang w:eastAsia="en-US"/>
    </w:rPr>
  </w:style>
  <w:style w:type="character" w:customStyle="1" w:styleId="VoettekstChar">
    <w:name w:val="Voettekst Char"/>
    <w:basedOn w:val="Standaardalinea-lettertype"/>
    <w:link w:val="Voettekst"/>
    <w:rsid w:val="000C1D4D"/>
    <w:rPr>
      <w:rFonts w:ascii="Arial" w:hAnsi="Arial"/>
      <w:color w:val="333333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vz/Desktop/caosport/sjabloon%20CAOSPORT%20referentiefunctie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CAOSPORT referentiefunctie.dotx</Template>
  <TotalTime>39</TotalTime>
  <Pages>1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3137</CharactersWithSpaces>
  <SharedDoc>false</SharedDoc>
  <HLinks>
    <vt:vector size="6" baseType="variant">
      <vt:variant>
        <vt:i4>3997786</vt:i4>
      </vt:variant>
      <vt:variant>
        <vt:i4>-1</vt:i4>
      </vt:variant>
      <vt:variant>
        <vt:i4>2050</vt:i4>
      </vt:variant>
      <vt:variant>
        <vt:i4>1</vt:i4>
      </vt:variant>
      <vt:variant>
        <vt:lpwstr>EVZ-logo-FC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Maaike Jacobi</dc:creator>
  <cp:keywords/>
  <cp:lastModifiedBy>EVZ EVZ</cp:lastModifiedBy>
  <cp:revision>16</cp:revision>
  <cp:lastPrinted>2018-07-19T09:22:00Z</cp:lastPrinted>
  <dcterms:created xsi:type="dcterms:W3CDTF">2018-08-01T14:19:00Z</dcterms:created>
  <dcterms:modified xsi:type="dcterms:W3CDTF">2019-01-23T15:17:00Z</dcterms:modified>
</cp:coreProperties>
</file>